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Roboto" w:cs="Roboto" w:eastAsia="Roboto" w:hAnsi="Roboto"/>
          <w:color w:val="4a4a4a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4a4a4a"/>
          <w:sz w:val="24"/>
          <w:szCs w:val="24"/>
          <w:highlight w:val="white"/>
        </w:rPr>
        <w:drawing>
          <wp:inline distB="114300" distT="114300" distL="114300" distR="114300">
            <wp:extent cx="1446967" cy="1446967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6967" cy="144696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4a4a4a"/>
          <w:sz w:val="28"/>
          <w:szCs w:val="28"/>
          <w:highlight w:val="white"/>
          <w:rtl w:val="0"/>
        </w:rPr>
        <w:t xml:space="preserve">The reusable container service for restaurant takeout &amp; delivery</w:t>
      </w:r>
    </w:p>
    <w:p w:rsidR="00000000" w:rsidDel="00000000" w:rsidP="00000000" w:rsidRDefault="00000000" w:rsidRPr="00000000" w14:paraId="00000003">
      <w:pPr>
        <w:jc w:val="center"/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4a4a4a"/>
          <w:sz w:val="24"/>
          <w:szCs w:val="24"/>
          <w:highlight w:val="white"/>
          <w:rtl w:val="0"/>
        </w:rPr>
        <w:t xml:space="preserve">60% of people polled said that they would favour a restaurant that offers Earthware over one that doesn’t.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4a4a4a"/>
          <w:sz w:val="28"/>
          <w:szCs w:val="28"/>
          <w:highlight w:val="white"/>
          <w:rtl w:val="0"/>
        </w:rPr>
        <w:t xml:space="preserve">Show them you care by giving them the Earthware choice.</w:t>
      </w:r>
    </w:p>
    <w:p w:rsidR="00000000" w:rsidDel="00000000" w:rsidP="00000000" w:rsidRDefault="00000000" w:rsidRPr="00000000" w14:paraId="00000007">
      <w:pPr>
        <w:jc w:val="center"/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4a4a4a"/>
          <w:sz w:val="28"/>
          <w:szCs w:val="28"/>
          <w:highlight w:val="white"/>
          <w:rtl w:val="0"/>
        </w:rPr>
        <w:t xml:space="preserve">Benefits for your restaurant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Add a revenue stream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Eliminate your cost for single use containers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Reduce the amount of waste your restaurant puts into the landfill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Attract more customers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4a4a4a"/>
          <w:sz w:val="28"/>
          <w:szCs w:val="28"/>
          <w:highlight w:val="white"/>
          <w:rtl w:val="0"/>
        </w:rPr>
        <w:t xml:space="preserve">How it works:</w:t>
      </w:r>
    </w:p>
    <w:p w:rsidR="00000000" w:rsidDel="00000000" w:rsidP="00000000" w:rsidRDefault="00000000" w:rsidRPr="00000000" w14:paraId="0000000F">
      <w:pPr>
        <w:keepNext w:val="1"/>
        <w:jc w:val="center"/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5943600" cy="27617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4875" y="363875"/>
                          <a:ext cx="5943600" cy="2761763"/>
                          <a:chOff x="304875" y="363875"/>
                          <a:chExt cx="6314600" cy="29207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04875" y="363875"/>
                            <a:ext cx="1819500" cy="10620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3020125" y="432725"/>
                            <a:ext cx="1229400" cy="9735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5154225" y="511400"/>
                            <a:ext cx="1327800" cy="9144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512300" y="2134100"/>
                            <a:ext cx="1425900" cy="10620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2892275" y="2173450"/>
                            <a:ext cx="1357200" cy="11112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472125" y="494675"/>
                            <a:ext cx="1553700" cy="8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Customer chooses Earthware container from restaurant menu or delivery app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8" name="Shape 8"/>
                        <wps:spPr>
                          <a:xfrm>
                            <a:off x="3177475" y="619575"/>
                            <a:ext cx="924000" cy="8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Customer enjoys food and rinses container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9" name="Shape 9"/>
                        <wps:spPr>
                          <a:xfrm>
                            <a:off x="5302275" y="619575"/>
                            <a:ext cx="993300" cy="8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Customer uses QR code to notify us for pick up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689325" y="2350475"/>
                            <a:ext cx="1111200" cy="33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11" name="Shape 11"/>
                        <wps:spPr>
                          <a:xfrm>
                            <a:off x="5193575" y="2212775"/>
                            <a:ext cx="1425900" cy="10620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2" name="Shape 12"/>
                        <wps:spPr>
                          <a:xfrm>
                            <a:off x="5294400" y="2485675"/>
                            <a:ext cx="1229400" cy="49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Earthware collects container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3" name="Shape 13"/>
                        <wps:spPr>
                          <a:xfrm>
                            <a:off x="3020125" y="2399650"/>
                            <a:ext cx="1111200" cy="64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Containers are washed and sanitised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4" name="Shape 14"/>
                        <wps:spPr>
                          <a:xfrm>
                            <a:off x="610650" y="2389800"/>
                            <a:ext cx="1229400" cy="8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Containers are recirculated back to partner restaurants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15" name="Shape 15"/>
                        <wps:spPr>
                          <a:xfrm>
                            <a:off x="2331700" y="806450"/>
                            <a:ext cx="452100" cy="2460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6" name="Shape 16"/>
                        <wps:spPr>
                          <a:xfrm>
                            <a:off x="4475825" y="819825"/>
                            <a:ext cx="452100" cy="2460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7" name="Shape 17"/>
                        <wps:spPr>
                          <a:xfrm>
                            <a:off x="5714800" y="1612875"/>
                            <a:ext cx="255600" cy="412800"/>
                          </a:xfrm>
                          <a:prstGeom prst="down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8" name="Shape 18"/>
                        <wps:spPr>
                          <a:xfrm>
                            <a:off x="4485475" y="2655350"/>
                            <a:ext cx="442500" cy="294900"/>
                          </a:xfrm>
                          <a:prstGeom prst="lef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9" name="Shape 19"/>
                        <wps:spPr>
                          <a:xfrm>
                            <a:off x="2164500" y="2586500"/>
                            <a:ext cx="531000" cy="246000"/>
                          </a:xfrm>
                          <a:prstGeom prst="lef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0" name="Shape 20"/>
                        <wps:spPr>
                          <a:xfrm>
                            <a:off x="954850" y="1563700"/>
                            <a:ext cx="344100" cy="412800"/>
                          </a:xfrm>
                          <a:prstGeom prst="up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1" name="Shape 21"/>
                        <wps:spPr>
                          <a:xfrm>
                            <a:off x="2143850" y="1561575"/>
                            <a:ext cx="2784000" cy="6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This is the graphic that needs to be created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943600" cy="2761763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27617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Restaurants worldwide are embracing reusable takeout containers</w:t>
      </w:r>
    </w:p>
    <w:p w:rsidR="00000000" w:rsidDel="00000000" w:rsidP="00000000" w:rsidRDefault="00000000" w:rsidRPr="00000000" w14:paraId="0000001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Seamless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Earthware reusable containers fit right into your current operations, with no retraining or time lag.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203788</wp:posOffset>
            </wp:positionV>
            <wp:extent cx="1271492" cy="1214438"/>
            <wp:effectExtent b="0" l="0" r="0" t="0"/>
            <wp:wrapSquare wrapText="bothSides" distB="114300" distT="114300" distL="114300" distR="114300"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1492" cy="12144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Our clean Earthware guarantee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Earthware </w:t>
      </w:r>
      <w:r w:rsidDel="00000000" w:rsidR="00000000" w:rsidRPr="00000000">
        <w:rPr>
          <w:sz w:val="28"/>
          <w:szCs w:val="28"/>
          <w:rtl w:val="0"/>
        </w:rPr>
        <w:t xml:space="preserve">w</w:t>
      </w:r>
      <w:r w:rsidDel="00000000" w:rsidR="00000000" w:rsidRPr="00000000">
        <w:rPr>
          <w:sz w:val="28"/>
          <w:szCs w:val="28"/>
          <w:rtl w:val="0"/>
        </w:rPr>
        <w:t xml:space="preserve">ashing and sanitising procedures exceed government regulations.  If you find an Earthware </w:t>
      </w:r>
      <w:r w:rsidDel="00000000" w:rsidR="00000000" w:rsidRPr="00000000">
        <w:rPr>
          <w:sz w:val="28"/>
          <w:szCs w:val="28"/>
          <w:rtl w:val="0"/>
        </w:rPr>
        <w:t xml:space="preserve">container that</w:t>
      </w:r>
      <w:r w:rsidDel="00000000" w:rsidR="00000000" w:rsidRPr="00000000">
        <w:rPr>
          <w:sz w:val="28"/>
          <w:szCs w:val="28"/>
          <w:rtl w:val="0"/>
        </w:rPr>
        <w:t xml:space="preserve"> does not meet your high standards , we will replace it with 10 free ones, no questions asked!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 Recycling &amp; Composting Fallacy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3657600</wp:posOffset>
            </wp:positionH>
            <wp:positionV relativeFrom="paragraph">
              <wp:posOffset>152400</wp:posOffset>
            </wp:positionV>
            <wp:extent cx="2550572" cy="1402815"/>
            <wp:effectExtent b="0" l="0" r="0" t="0"/>
            <wp:wrapSquare wrapText="bothSides" distB="114300" distT="114300" distL="114300" distR="11430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50572" cy="14028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91% of what we put into the blue bins is redirected to the landfill.</w:t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100% compostable containers are based on a 90 day active compost cycle. City programs typically have a 21 day active compost cycle, meaning those compostable containers go into the landfill.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Together, we can make single-use food containers a thing of the past, eliminate one of the biggest sources of landfill waste, and offer customers a great experience in the process.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Roboto" w:cs="Roboto" w:eastAsia="Roboto" w:hAnsi="Roboto"/>
          <w:color w:val="4a4a4a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4a4a4a"/>
          <w:sz w:val="36"/>
          <w:szCs w:val="36"/>
          <w:highlight w:val="white"/>
          <w:rtl w:val="0"/>
        </w:rPr>
        <w:t xml:space="preserve">CONTACT US NOW AT WWW.EARTHWARE.ME FOR MORE INFO AND LEARN ABOUT OUR FREE STARTER KIT</w:t>
      </w:r>
      <w:r w:rsidDel="00000000" w:rsidR="00000000" w:rsidRPr="00000000">
        <w:rPr>
          <w:rtl w:val="0"/>
        </w:rPr>
      </w:r>
    </w:p>
    <w:sectPr>
      <w:headerReference r:id="rId10" w:type="first"/>
      <w:footerReference r:id="rId11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1.png"/><Relationship Id="rId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